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tribunal-judicial-do-trabalho-de-lisboa"/>
    <w:p>
      <w:pPr>
        <w:pStyle w:val="Heading2"/>
      </w:pPr>
      <w:r>
        <w:t xml:space="preserve">Tribunal Judicial do Trabalho de Lisboa</w:t>
      </w:r>
    </w:p>
    <w:p>
      <w:pPr>
        <w:pStyle w:val="FirstParagraph"/>
      </w:pPr>
      <w:r>
        <w:rPr>
          <w:b/>
          <w:bCs/>
        </w:rPr>
        <w:t xml:space="preserve">Processo n.º 1234/2026 – Despedimento por Justa Causa – Uso Indevido de Email Corporativo</w:t>
      </w:r>
    </w:p>
    <w:p>
      <w:pPr>
        <w:pStyle w:val="BodyText"/>
      </w:pPr>
      <w:r>
        <w:rPr>
          <w:b/>
          <w:bCs/>
        </w:rPr>
        <w:t xml:space="preserve">Autor / Reclamante:</w:t>
      </w:r>
      <w:r>
        <w:t xml:space="preserve"> </w:t>
      </w:r>
      <w:r>
        <w:t xml:space="preserve">José Manuel da Silva, residente em Rua da Boavista, 45, 3.º Dto., 1200‑245 Lisboa, NIF 123 456 789</w:t>
      </w:r>
      <w:r>
        <w:br/>
      </w:r>
      <w:r>
        <w:rPr>
          <w:b/>
          <w:bCs/>
        </w:rPr>
        <w:t xml:space="preserve">Réu / Requerido:</w:t>
      </w:r>
      <w:r>
        <w:t xml:space="preserve"> </w:t>
      </w:r>
      <w:r>
        <w:t xml:space="preserve">XYZ – Serviços de Tecnologia, Lda., pessoa coletiva número 504 321 987, com sede em Avenida das Nações Unidas, 10, 1050‑151 Lisboa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 Dr. António Ribeiro, advogado, OAB nº 12345, escritório em Rua de São Bento, 78, 2.º Esq., 1200‑821 Lisboa</w:t>
      </w:r>
      <w:r>
        <w:br/>
      </w:r>
      <w:r>
        <w:t xml:space="preserve">- Dra. Sofia Carvalho, advogada, OAB nº 67890, escritório em Rua de Alvalade, 12, 1.º Esq., 1700‑057 Lisboa</w:t>
      </w:r>
    </w:p>
    <w:p>
      <w:pPr>
        <w:pStyle w:val="BodyText"/>
      </w:pPr>
      <w:r>
        <w:rPr>
          <w:b/>
          <w:bCs/>
        </w:rPr>
        <w:t xml:space="preserve">Juíza:</w:t>
      </w:r>
      <w:r>
        <w:t xml:space="preserve"> </w:t>
      </w:r>
      <w:r>
        <w:t xml:space="preserve">Dr.ª Maria de Lurdes Santos</w:t>
      </w:r>
    </w:p>
    <w:p>
      <w:r>
        <w:pict>
          <v:rect style="width:0;height:1.5pt" o:hralign="center" o:hrstd="t" o:hr="t"/>
        </w:pict>
      </w:r>
    </w:p>
    <w:bookmarkEnd w:id="9"/>
    <w:bookmarkStart w:id="18" w:name="contrarrazões-ao-recurso"/>
    <w:p>
      <w:pPr>
        <w:pStyle w:val="Heading1"/>
      </w:pPr>
      <w:r>
        <w:rPr>
          <w:b/>
          <w:bCs/>
        </w:rPr>
        <w:t xml:space="preserve">CONTRARRAZÕES AO RECURSO</w:t>
      </w:r>
    </w:p>
    <w:p>
      <w:pPr>
        <w:pStyle w:val="FirstParagraph"/>
      </w:pPr>
      <w:r>
        <w:rPr>
          <w:i/>
          <w:iCs/>
        </w:rPr>
        <w:t xml:space="preserve">Defesa da Sentença proferida em primeira instância</w:t>
      </w:r>
    </w:p>
    <w:p>
      <w:pPr>
        <w:pStyle w:val="BodyText"/>
      </w:pPr>
      <w:r>
        <w:t xml:space="preserve">Lisboa, 20 de fevereiro de 2026</w:t>
      </w:r>
    </w:p>
    <w:bookmarkStart w:id="10" w:name="i.-introdução"/>
    <w:p>
      <w:pPr>
        <w:pStyle w:val="Heading3"/>
      </w:pPr>
      <w:r>
        <w:t xml:space="preserve">I. Introdução</w:t>
      </w:r>
    </w:p>
    <w:p>
      <w:pPr>
        <w:numPr>
          <w:ilvl w:val="0"/>
          <w:numId w:val="1001"/>
        </w:numPr>
      </w:pPr>
      <w:r>
        <w:t xml:space="preserve">A Empresa XYZ – Serviços de Tecnologia, Lda., ora</w:t>
      </w:r>
      <w:r>
        <w:t xml:space="preserve"> </w:t>
      </w:r>
      <w:r>
        <w:rPr>
          <w:b/>
          <w:bCs/>
        </w:rPr>
        <w:t xml:space="preserve">Recorrida</w:t>
      </w:r>
      <w:r>
        <w:t xml:space="preserve">, vem, nos termos do artigo 702.º, n.º 1, alínea “b”, do Código de Processo Civil, apresentar as suas</w:t>
      </w:r>
      <w:r>
        <w:t xml:space="preserve"> </w:t>
      </w:r>
      <w:r>
        <w:rPr>
          <w:b/>
          <w:bCs/>
        </w:rPr>
        <w:t xml:space="preserve">Contrarrazões ao Recurso</w:t>
      </w:r>
      <w:r>
        <w:t xml:space="preserve"> </w:t>
      </w:r>
      <w:r>
        <w:t xml:space="preserve">interposto por José Manuel da Silva,</w:t>
      </w:r>
      <w:r>
        <w:t xml:space="preserve"> </w:t>
      </w:r>
      <w:r>
        <w:rPr>
          <w:b/>
          <w:bCs/>
        </w:rPr>
        <w:t xml:space="preserve">Recorrente</w:t>
      </w:r>
      <w:r>
        <w:t xml:space="preserve">, contra a sentença de 12 de janeiro de 2026, que reconheceu a validade da demissão por justa causa.</w:t>
      </w:r>
    </w:p>
    <w:p>
      <w:pPr>
        <w:numPr>
          <w:ilvl w:val="0"/>
          <w:numId w:val="1001"/>
        </w:numPr>
      </w:pPr>
      <w:r>
        <w:t xml:space="preserve">As presentes contrarrazões têm por objetivo demonstrar a</w:t>
      </w:r>
      <w:r>
        <w:t xml:space="preserve"> </w:t>
      </w:r>
      <w:r>
        <w:rPr>
          <w:b/>
          <w:bCs/>
        </w:rPr>
        <w:t xml:space="preserve">regularidade da decisão judicial</w:t>
      </w:r>
      <w:r>
        <w:t xml:space="preserve">, a</w:t>
      </w:r>
      <w:r>
        <w:t xml:space="preserve"> </w:t>
      </w:r>
      <w:r>
        <w:rPr>
          <w:b/>
          <w:bCs/>
        </w:rPr>
        <w:t xml:space="preserve">legitimidade da justa causa invocada</w:t>
      </w:r>
      <w:r>
        <w:t xml:space="preserve"> </w:t>
      </w:r>
      <w:r>
        <w:t xml:space="preserve">e a</w:t>
      </w:r>
      <w:r>
        <w:t xml:space="preserve"> </w:t>
      </w:r>
      <w:r>
        <w:rPr>
          <w:b/>
          <w:bCs/>
        </w:rPr>
        <w:t xml:space="preserve">conformidade do procedimento de comunicação do despedimento</w:t>
      </w:r>
      <w:r>
        <w:t xml:space="preserve"> </w:t>
      </w:r>
      <w:r>
        <w:t xml:space="preserve">com o disposto na Lei n.º 7/2009, de 12 de fevereiro (Código do Trabalho), bem como a</w:t>
      </w:r>
      <w:r>
        <w:t xml:space="preserve"> </w:t>
      </w:r>
      <w:r>
        <w:rPr>
          <w:b/>
          <w:bCs/>
        </w:rPr>
        <w:t xml:space="preserve">proporcionalidade da sanção aplicada</w:t>
      </w:r>
      <w:r>
        <w:t xml:space="preserve">.</w:t>
      </w:r>
    </w:p>
    <w:bookmarkEnd w:id="10"/>
    <w:bookmarkStart w:id="11" w:name="ii.-síntese-dos-factos"/>
    <w:p>
      <w:pPr>
        <w:pStyle w:val="Heading3"/>
      </w:pPr>
      <w:r>
        <w:t xml:space="preserve">II. Síntese dos Factos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310"/>
        <w:gridCol w:w="1980"/>
        <w:gridCol w:w="363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Facto</w:t>
            </w:r>
          </w:p>
        </w:tc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</w:t>
            </w:r>
          </w:p>
        </w:tc>
        <w:tc>
          <w:tcPr/>
          <w:p>
            <w:pPr>
              <w:pStyle w:val="Compact"/>
            </w:pPr>
            <w:r>
              <w:t xml:space="preserve">15 de novembro de 2025</w:t>
            </w:r>
          </w:p>
        </w:tc>
        <w:tc>
          <w:tcPr/>
          <w:p>
            <w:pPr>
              <w:pStyle w:val="Compact"/>
            </w:pPr>
            <w:r>
              <w:t xml:space="preserve">O trabalhador José Manuel da Silva utilizou o endereço de email corporativo (jmsilva@xyz.pt) para enviar mensagens de carácter pessoal, incluindo troca de fotografias e contactos de natureza privada, sem autorização da empresa.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2.</w:t>
            </w:r>
          </w:p>
        </w:tc>
        <w:tc>
          <w:tcPr/>
          <w:p>
            <w:pPr>
              <w:pStyle w:val="Compact"/>
            </w:pPr>
            <w:r>
              <w:t xml:space="preserve">18 de novembro de 2025</w:t>
            </w:r>
          </w:p>
        </w:tc>
        <w:tc>
          <w:tcPr/>
          <w:p>
            <w:pPr>
              <w:pStyle w:val="Compact"/>
            </w:pPr>
            <w:r>
              <w:t xml:space="preserve">A Direção de Recursos Humanos, através da carta registada nº 2025/HR/018, notificou o trabalhador da infração, concedendo-lhe</w:t>
            </w:r>
            <w:r>
              <w:t xml:space="preserve"> </w:t>
            </w:r>
            <w:r>
              <w:rPr>
                <w:b/>
                <w:bCs/>
              </w:rPr>
              <w:t xml:space="preserve">48 horas</w:t>
            </w:r>
            <w:r>
              <w:t xml:space="preserve"> </w:t>
            </w:r>
            <w:r>
              <w:t xml:space="preserve">para apresentar explicação escrita.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3.</w:t>
            </w:r>
          </w:p>
        </w:tc>
        <w:tc>
          <w:tcPr/>
          <w:p>
            <w:pPr>
              <w:pStyle w:val="Compact"/>
            </w:pPr>
            <w:r>
              <w:t xml:space="preserve">20 de novembro de 2025</w:t>
            </w:r>
          </w:p>
        </w:tc>
        <w:tc>
          <w:tcPr/>
          <w:p>
            <w:pPr>
              <w:pStyle w:val="Compact"/>
            </w:pPr>
            <w:r>
              <w:t xml:space="preserve">O trabalhador apresentou resposta evasiva, sem reconhecer a violação dos deveres de lealdade e confidencialidade.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4.</w:t>
            </w:r>
          </w:p>
        </w:tc>
        <w:tc>
          <w:tcPr/>
          <w:p>
            <w:pPr>
              <w:pStyle w:val="Compact"/>
            </w:pPr>
            <w:r>
              <w:t xml:space="preserve">25 de novembro de 2025</w:t>
            </w:r>
          </w:p>
        </w:tc>
        <w:tc>
          <w:tcPr/>
          <w:p>
            <w:pPr>
              <w:pStyle w:val="Compact"/>
            </w:pPr>
            <w:r>
              <w:t xml:space="preserve">A empresa procedeu à</w:t>
            </w:r>
            <w:r>
              <w:t xml:space="preserve"> </w:t>
            </w:r>
            <w:r>
              <w:rPr>
                <w:b/>
                <w:bCs/>
              </w:rPr>
              <w:t xml:space="preserve">citação por carta registada</w:t>
            </w:r>
            <w:r>
              <w:t xml:space="preserve"> </w:t>
            </w:r>
            <w:r>
              <w:t xml:space="preserve">(carta nº 2025/D/025) informando o trabalhador da decisão de despedimento imediato por justa causa, com fundamento no artigo 351.º, n.º 2, alínea “c”, do Código do Trabalho.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5.</w:t>
            </w:r>
          </w:p>
        </w:tc>
        <w:tc>
          <w:tcPr/>
          <w:p>
            <w:pPr>
              <w:pStyle w:val="Compact"/>
            </w:pPr>
            <w:r>
              <w:t xml:space="preserve">12 de janeiro de 2026</w:t>
            </w:r>
          </w:p>
        </w:tc>
        <w:tc>
          <w:tcPr/>
          <w:p>
            <w:pPr>
              <w:pStyle w:val="Compact"/>
            </w:pPr>
            <w:r>
              <w:t xml:space="preserve">Sentença de primeira instância reconhecendo a validade da justa causa e condenando o Recorrente ao pagamento das verbas devidas até à data da cessação do contrato.</w:t>
            </w:r>
          </w:p>
        </w:tc>
      </w:tr>
    </w:tbl>
    <w:bookmarkEnd w:id="11"/>
    <w:bookmarkStart w:id="16" w:name="iii.-das-razões-de-direito"/>
    <w:p>
      <w:pPr>
        <w:pStyle w:val="Heading3"/>
      </w:pPr>
      <w:r>
        <w:t xml:space="preserve">III. Das Razões de Direito</w:t>
      </w:r>
    </w:p>
    <w:bookmarkStart w:id="12" w:name="da-legitimidade-da-justa-causa"/>
    <w:p>
      <w:pPr>
        <w:pStyle w:val="Heading4"/>
      </w:pPr>
      <w:r>
        <w:t xml:space="preserve">3.1. Da</w:t>
      </w:r>
      <w:r>
        <w:t xml:space="preserve"> </w:t>
      </w:r>
      <w:r>
        <w:rPr>
          <w:b/>
          <w:bCs/>
        </w:rPr>
        <w:t xml:space="preserve">Legitimidade da Justa Causa</w:t>
      </w:r>
    </w:p>
    <w:p>
      <w:pPr>
        <w:pStyle w:val="FirstParagraph"/>
      </w:pPr>
      <w:r>
        <w:t xml:space="preserve">3.1.1. O artigo 351.º, n.º 2, alínea “c”, do Código do Trabalho, estabelece que a violação do dever de lealdade, nomeadamente o uso indevido de meios de comunicação internos para fins pessoais, constitui justa causa para a cessação do contrato.</w:t>
      </w:r>
    </w:p>
    <w:p>
      <w:pPr>
        <w:pStyle w:val="BodyText"/>
      </w:pPr>
      <w:r>
        <w:t xml:space="preserve">3.1.2. A jurisprudência consolidada do Tribunal Supremo (Acórdão n.º 123/2022) reconhece que a utilização do email corporativo para fins particulares, sem autorização expressa, viola o dever de lealdade e pode ser considerada motivo suficiente para despedimento imediato, quando a infração for grave e reiterada.</w:t>
      </w:r>
    </w:p>
    <w:p>
      <w:pPr>
        <w:pStyle w:val="BodyText"/>
      </w:pPr>
      <w:r>
        <w:t xml:space="preserve">3.1.3. No presente caso, a conduta do Recorrente foi</w:t>
      </w:r>
      <w:r>
        <w:t xml:space="preserve"> </w:t>
      </w:r>
      <w:r>
        <w:rPr>
          <w:b/>
          <w:bCs/>
        </w:rPr>
        <w:t xml:space="preserve">grave</w:t>
      </w:r>
      <w:r>
        <w:t xml:space="preserve"> </w:t>
      </w:r>
      <w:r>
        <w:t xml:space="preserve">(envio de conteúdos pessoais que poderiam comprometer a segurança da rede interna) e</w:t>
      </w:r>
      <w:r>
        <w:t xml:space="preserve"> </w:t>
      </w:r>
      <w:r>
        <w:rPr>
          <w:b/>
          <w:bCs/>
        </w:rPr>
        <w:t xml:space="preserve">reiterada</w:t>
      </w:r>
      <w:r>
        <w:t xml:space="preserve"> </w:t>
      </w:r>
      <w:r>
        <w:t xml:space="preserve">(três mensagens enviadas no intervalo de dois dias). Não há dúvida de que a empresa agiu dentro da sua faculdade de disciplina.</w:t>
      </w:r>
    </w:p>
    <w:bookmarkEnd w:id="12"/>
    <w:bookmarkStart w:id="13" w:name="da-proporcionalidade-da-sanção"/>
    <w:p>
      <w:pPr>
        <w:pStyle w:val="Heading4"/>
      </w:pPr>
      <w:r>
        <w:t xml:space="preserve">3.2. Da</w:t>
      </w:r>
      <w:r>
        <w:t xml:space="preserve"> </w:t>
      </w:r>
      <w:r>
        <w:rPr>
          <w:b/>
          <w:bCs/>
        </w:rPr>
        <w:t xml:space="preserve">Proporcionalidade da Sanção</w:t>
      </w:r>
    </w:p>
    <w:p>
      <w:pPr>
        <w:pStyle w:val="FirstParagraph"/>
      </w:pPr>
      <w:r>
        <w:t xml:space="preserve">3.2.1. O princípio da proporcionalidade, consagrado no artigo 20.º da Constituição da República Portuguesa e no artigo 351.º, n.º 2, do Código do Trabalho, impõe que a sanção disciplinar seja adequada à gravidade da infração.</w:t>
      </w:r>
    </w:p>
    <w:p>
      <w:pPr>
        <w:pStyle w:val="BodyText"/>
      </w:pPr>
      <w:r>
        <w:t xml:space="preserve">3.2.2. A empresa, antes de proceder ao despedimento, concedeu ao trabalhador</w:t>
      </w:r>
      <w:r>
        <w:t xml:space="preserve"> </w:t>
      </w:r>
      <w:r>
        <w:rPr>
          <w:b/>
          <w:bCs/>
        </w:rPr>
        <w:t xml:space="preserve">48 horas</w:t>
      </w:r>
      <w:r>
        <w:t xml:space="preserve"> </w:t>
      </w:r>
      <w:r>
        <w:t xml:space="preserve">para apresentar explicação, em consonância com o artigo 351.º, n.º 3, do Código do Trabalho. A resposta recebida foi insuficiente, não mitigando a gravidade da conduta.</w:t>
      </w:r>
    </w:p>
    <w:p>
      <w:pPr>
        <w:pStyle w:val="BodyText"/>
      </w:pPr>
      <w:r>
        <w:t xml:space="preserve">3.2.3. Assim, a medida de despedimento imediato foi</w:t>
      </w:r>
      <w:r>
        <w:t xml:space="preserve"> </w:t>
      </w:r>
      <w:r>
        <w:rPr>
          <w:b/>
          <w:bCs/>
        </w:rPr>
        <w:t xml:space="preserve">necessária e proporcional</w:t>
      </w:r>
      <w:r>
        <w:t xml:space="preserve">, não havendo alternativa disciplinar menos gravosa que preservasse a confiança imprescindível na relação laboral.</w:t>
      </w:r>
    </w:p>
    <w:bookmarkEnd w:id="13"/>
    <w:bookmarkStart w:id="14" w:name="Xaa69d2f4df65b46648e3cc87415faafa47ab1c3"/>
    <w:p>
      <w:pPr>
        <w:pStyle w:val="Heading4"/>
      </w:pPr>
      <w:r>
        <w:t xml:space="preserve">3.3. Do</w:t>
      </w:r>
      <w:r>
        <w:t xml:space="preserve"> </w:t>
      </w:r>
      <w:r>
        <w:rPr>
          <w:b/>
          <w:bCs/>
        </w:rPr>
        <w:t xml:space="preserve">Cumprimento dos Requisitos Formais de Comunicação</w:t>
      </w:r>
    </w:p>
    <w:p>
      <w:pPr>
        <w:pStyle w:val="FirstParagraph"/>
      </w:pPr>
      <w:r>
        <w:t xml:space="preserve">3.3.1. O artigo 351.º, n.º 3, do Código do Trabalho, exige que a comunicação da justa causa seja feita</w:t>
      </w:r>
      <w:r>
        <w:t xml:space="preserve"> </w:t>
      </w:r>
      <w:r>
        <w:rPr>
          <w:b/>
          <w:bCs/>
        </w:rPr>
        <w:t xml:space="preserve">por escrito</w:t>
      </w:r>
      <w:r>
        <w:t xml:space="preserve">, especificando os factos que a motivam e indicando a data de cessação do contrato.</w:t>
      </w:r>
    </w:p>
    <w:p>
      <w:pPr>
        <w:pStyle w:val="BodyText"/>
      </w:pPr>
      <w:r>
        <w:t xml:space="preserve">3.3.2. A empresa cumpriu integralmente tal exigência ao enviar a carta registada nº 2025/D/025, que continha:</w:t>
      </w:r>
    </w:p>
    <w:p>
      <w:pPr>
        <w:pStyle w:val="Compact"/>
        <w:numPr>
          <w:ilvl w:val="0"/>
          <w:numId w:val="1002"/>
        </w:numPr>
      </w:pPr>
      <w:r>
        <w:t xml:space="preserve">a descrição detalhada dos factos (uso indevido do email corporativo);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a referência ao artigo legal invocado;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a data de cessação (26 de novembro de 2025).</w:t>
      </w:r>
    </w:p>
    <w:p>
      <w:pPr>
        <w:pStyle w:val="FirstParagraph"/>
      </w:pPr>
      <w:r>
        <w:t xml:space="preserve">3.3.3. A validade da comunicação não foi contestada pelo Recorrente, que nem alegou desconhecimento da carta nem impugnou a sua forma.</w:t>
      </w:r>
    </w:p>
    <w:bookmarkEnd w:id="14"/>
    <w:bookmarkStart w:id="15" w:name="Xbbdbf6399312af0d360294bebdab689ea82a417"/>
    <w:p>
      <w:pPr>
        <w:pStyle w:val="Heading4"/>
      </w:pPr>
      <w:r>
        <w:t xml:space="preserve">3.4. Da</w:t>
      </w:r>
      <w:r>
        <w:t xml:space="preserve"> </w:t>
      </w:r>
      <w:r>
        <w:rPr>
          <w:b/>
          <w:bCs/>
        </w:rPr>
        <w:t xml:space="preserve">Inexistência de Violação de Direitos Fundamentais</w:t>
      </w:r>
    </w:p>
    <w:p>
      <w:pPr>
        <w:pStyle w:val="FirstParagraph"/>
      </w:pPr>
      <w:r>
        <w:t xml:space="preserve">3.4.1. O Recorrente sustenta que a empresa violou o direito à vida privada. Contudo, o direito à privacidade no âmbito laboral está subordinado ao dever de lealdade e ao interesse legítimo da empresa na proteção da sua rede informática (artigo 26.º, n.º 1, da Constituição).</w:t>
      </w:r>
    </w:p>
    <w:p>
      <w:pPr>
        <w:pStyle w:val="BodyText"/>
      </w:pPr>
      <w:r>
        <w:t xml:space="preserve">3.4.2. A jurisprudência (Acórdão n.º 456/2023) esclarece que o empregador pode limitar o uso dos meios de comunicação internos e, em caso de violação, aplicar sanções disciplinares, sem incorrer em violação de direitos fundamentais.</w:t>
      </w:r>
    </w:p>
    <w:bookmarkEnd w:id="15"/>
    <w:bookmarkEnd w:id="16"/>
    <w:bookmarkStart w:id="17" w:name="iv.-do-pedido"/>
    <w:p>
      <w:pPr>
        <w:pStyle w:val="Heading3"/>
      </w:pPr>
      <w:r>
        <w:t xml:space="preserve">IV. Do Pedido</w:t>
      </w:r>
    </w:p>
    <w:p>
      <w:pPr>
        <w:pStyle w:val="FirstParagraph"/>
      </w:pPr>
      <w:r>
        <w:t xml:space="preserve">Face ao exposto, a</w:t>
      </w:r>
      <w:r>
        <w:t xml:space="preserve"> </w:t>
      </w:r>
      <w:r>
        <w:rPr>
          <w:b/>
          <w:bCs/>
        </w:rPr>
        <w:t xml:space="preserve">Recorrida</w:t>
      </w:r>
      <w:r>
        <w:t xml:space="preserve"> </w:t>
      </w:r>
      <w:r>
        <w:t xml:space="preserve">requer a V. Exa.: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Negar provimento</w:t>
      </w:r>
      <w:r>
        <w:t xml:space="preserve"> </w:t>
      </w:r>
      <w:r>
        <w:t xml:space="preserve">ao recurso interposto por José Manuel da Silva, mantendo integralmente a sentença de 12 de janeiro de 2026;</w:t>
      </w:r>
    </w:p>
    <w:p>
      <w:pPr>
        <w:numPr>
          <w:ilvl w:val="0"/>
          <w:numId w:val="1003"/>
        </w:numPr>
      </w:pPr>
      <w:r>
        <w:t xml:space="preserve">Confirmar a validade da justa causa invocada, reconhecendo a</w:t>
      </w:r>
      <w:r>
        <w:t xml:space="preserve"> </w:t>
      </w:r>
      <w:r>
        <w:rPr>
          <w:b/>
          <w:bCs/>
        </w:rPr>
        <w:t xml:space="preserve">conformidade</w:t>
      </w:r>
      <w:r>
        <w:t xml:space="preserve"> </w:t>
      </w:r>
      <w:r>
        <w:t xml:space="preserve">da decisão com o artigo 351.º do Código do Trabalho;</w:t>
      </w:r>
    </w:p>
    <w:p>
      <w:pPr>
        <w:numPr>
          <w:ilvl w:val="0"/>
          <w:numId w:val="1003"/>
        </w:numPr>
      </w:pPr>
      <w:r>
        <w:t xml:space="preserve">Condenar o Recorrente ao pagamento das custas processuais e dos honorários de advogado, nos termos do artigo 21.º do Código de Processo Civil.</w:t>
      </w:r>
    </w:p>
    <w:p>
      <w:pPr>
        <w:pStyle w:val="FirstParagraph"/>
      </w:pPr>
      <w:r>
        <w:t xml:space="preserve">Nestes termos, 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20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António Ribeiro</w:t>
      </w:r>
      <w:r>
        <w:br/>
      </w:r>
      <w:r>
        <w:t xml:space="preserve">OAB nº 12345</w:t>
      </w:r>
    </w:p>
    <w:p>
      <w:pPr>
        <w:pStyle w:val="BodyText"/>
      </w:pPr>
      <w:r>
        <w:rPr>
          <w:b/>
          <w:bCs/>
        </w:rPr>
        <w:t xml:space="preserve">Dra. Sofia Carvalho</w:t>
      </w:r>
      <w:r>
        <w:br/>
      </w:r>
      <w:r>
        <w:t xml:space="preserve">OAB nº 67890</w:t>
      </w:r>
    </w:p>
    <w:bookmarkEnd w:id="17"/>
    <w:bookmarkEnd w:id="18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2026-02-22T18:50:39Z</dcterms:created>
  <dcterms:modified xsi:type="dcterms:W3CDTF">2026-02-22T18:50:39Z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